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4EF874DA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0DF72BDC" w:rsidR="00DD1C84" w:rsidRPr="005209E0" w:rsidRDefault="00E25F58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0AC2175" w14:textId="77777777" w:rsidR="00CE4D1B" w:rsidRDefault="00CE4D1B" w:rsidP="00CE4D1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оконных и балконных блоков,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лоджий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16E3A526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5F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5F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в ЗАО «Альфа-Банк», г. Минск, ул. Сурганова, </w:t>
      </w:r>
      <w:proofErr w:type="gramStart"/>
      <w:r w:rsidRPr="00446CD7">
        <w:rPr>
          <w:rFonts w:ascii="Times New Roman" w:hAnsi="Times New Roman" w:cs="Times New Roman"/>
          <w:sz w:val="24"/>
          <w:szCs w:val="24"/>
        </w:rPr>
        <w:t>43-47</w:t>
      </w:r>
      <w:proofErr w:type="gramEnd"/>
      <w:r w:rsidRPr="00446CD7">
        <w:rPr>
          <w:rFonts w:ascii="Times New Roman" w:hAnsi="Times New Roman" w:cs="Times New Roman"/>
          <w:sz w:val="24"/>
          <w:szCs w:val="24"/>
        </w:rPr>
        <w:t>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5C4B044E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F58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+375(44)534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="00E25F58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79</w:t>
      </w:r>
      <w:proofErr w:type="gramEnd"/>
      <w:r w:rsidR="00E25F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46D6EB78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E4D1B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CE4D1B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CE4D1B" w:rsidRPr="00DD212C">
        <w:rPr>
          <w:rFonts w:ascii="Times New Roman" w:hAnsi="Times New Roman"/>
          <w:sz w:val="28"/>
          <w:szCs w:val="28"/>
        </w:rPr>
        <w:t xml:space="preserve"> 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</w:t>
      </w:r>
      <w:r w:rsidR="00E25F58" w:rsidRPr="00E25F58">
        <w:rPr>
          <w:rFonts w:ascii="Times New Roman" w:hAnsi="Times New Roman" w:cs="Times New Roman"/>
          <w:bCs/>
          <w:sz w:val="24"/>
          <w:szCs w:val="24"/>
        </w:rPr>
        <w:t>выбору подрядной организации для выполнения комплекса работ по изготовлению, поставке и монтажу оконных и балконных блоков, лоджий при строительстве объекта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>:</w:t>
      </w:r>
      <w:r w:rsidR="00CE4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25F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25F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0FEA42A7" w14:textId="77777777" w:rsidR="00CA7695" w:rsidRDefault="00CA7695" w:rsidP="00CA7695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0F70F3">
        <w:rPr>
          <w:rStyle w:val="ui-provider"/>
          <w:rFonts w:ascii="Times New Roman" w:hAnsi="Times New Roman" w:cs="Times New Roman"/>
          <w:sz w:val="24"/>
          <w:szCs w:val="24"/>
        </w:rPr>
        <w:t xml:space="preserve">Панельный ж/б дом. Серия </w:t>
      </w:r>
      <w:proofErr w:type="gramStart"/>
      <w:r w:rsidRPr="000F70F3">
        <w:rPr>
          <w:rStyle w:val="ui-provider"/>
          <w:rFonts w:ascii="Times New Roman" w:hAnsi="Times New Roman" w:cs="Times New Roman"/>
          <w:sz w:val="24"/>
          <w:szCs w:val="24"/>
        </w:rPr>
        <w:t>111-90</w:t>
      </w:r>
      <w:proofErr w:type="gramEnd"/>
      <w:r w:rsidRPr="000F70F3">
        <w:rPr>
          <w:rStyle w:val="ui-provider"/>
          <w:rFonts w:ascii="Times New Roman" w:hAnsi="Times New Roman" w:cs="Times New Roman"/>
          <w:sz w:val="24"/>
          <w:szCs w:val="24"/>
        </w:rPr>
        <w:t>. 12 этажей на монолитном 1 этажном стилобате.</w:t>
      </w:r>
    </w:p>
    <w:p w14:paraId="290BC66E" w14:textId="77777777" w:rsidR="00CA7695" w:rsidRPr="000F70F3" w:rsidRDefault="00CA7695" w:rsidP="00CA7695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43C8218F" w14:textId="77777777" w:rsidR="00CA7695" w:rsidRPr="00BE050E" w:rsidRDefault="00CA7695" w:rsidP="00CA7695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6FBC3C3E" w:rsidR="00D50A76" w:rsidRPr="00BE050E" w:rsidRDefault="00CA7695" w:rsidP="00CA7695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7E61" w14:textId="2140AD78" w:rsidR="001E1FCA" w:rsidRDefault="00756011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494B85AC" w14:textId="77777777" w:rsidR="001E1FCA" w:rsidRDefault="001E1FCA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1B81EC" w14:textId="7153F059" w:rsidR="003319B7" w:rsidRP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CA">
        <w:rPr>
          <w:rFonts w:ascii="Times New Roman" w:hAnsi="Times New Roman" w:cs="Times New Roman"/>
          <w:b/>
          <w:bCs/>
          <w:sz w:val="28"/>
          <w:szCs w:val="28"/>
        </w:rPr>
        <w:t>ЛОТ №1 окна и балконные блоки:</w:t>
      </w:r>
    </w:p>
    <w:p w14:paraId="3C387082" w14:textId="77777777" w:rsid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0C863" w14:textId="77777777" w:rsidR="001E1FCA" w:rsidRPr="001E1FCA" w:rsidRDefault="001E1FCA" w:rsidP="001E1FCA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В неизменной стоимости должны быть учтены следующие виды работ:</w:t>
      </w:r>
    </w:p>
    <w:p w14:paraId="457D7543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Установка окон, первая герметизация (устройство центрального теплоизоляционного слоя -монтажная пена);</w:t>
      </w:r>
    </w:p>
    <w:p w14:paraId="79085764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lastRenderedPageBreak/>
        <w:t xml:space="preserve">Укрывка конструкций защитными пленками для предотвращения их повреждений. </w:t>
      </w:r>
    </w:p>
    <w:p w14:paraId="500D7F2E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Обеспечение сохранности на весь период до сдачи объекта.</w:t>
      </w:r>
    </w:p>
    <w:p w14:paraId="30D4D843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Заделка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штраб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 xml:space="preserve">, мест крепления анкерных пластин (в </w:t>
      </w:r>
      <w:proofErr w:type="gramStart"/>
      <w:r w:rsidRPr="00CA7695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CA7695">
        <w:rPr>
          <w:rFonts w:ascii="Times New Roman" w:hAnsi="Times New Roman" w:cs="Times New Roman"/>
          <w:sz w:val="24"/>
          <w:szCs w:val="24"/>
        </w:rPr>
        <w:t xml:space="preserve"> см. указания АР1 л.27; АР2 л.16);</w:t>
      </w:r>
    </w:p>
    <w:p w14:paraId="70793FEE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Заделка горизонтального откоса балконного окна в панельной части здания со стороны лоджии и внутреннего помещения цементно-песчаным раствором (в </w:t>
      </w:r>
      <w:proofErr w:type="gramStart"/>
      <w:r w:rsidRPr="00CA7695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CA7695">
        <w:rPr>
          <w:rFonts w:ascii="Times New Roman" w:hAnsi="Times New Roman" w:cs="Times New Roman"/>
          <w:sz w:val="24"/>
          <w:szCs w:val="24"/>
        </w:rPr>
        <w:t xml:space="preserve"> см. указания АР1 л.27; АР2 л.16); </w:t>
      </w:r>
    </w:p>
    <w:p w14:paraId="76967323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Заделка горизонтального откоса на окнах, где нет подоконника (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МОПы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>);</w:t>
      </w:r>
    </w:p>
    <w:p w14:paraId="04CBF24A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Установка подоконной доски, заделка мест примыкания (в </w:t>
      </w:r>
      <w:proofErr w:type="gramStart"/>
      <w:r w:rsidRPr="00CA7695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CA7695">
        <w:rPr>
          <w:rFonts w:ascii="Times New Roman" w:hAnsi="Times New Roman" w:cs="Times New Roman"/>
          <w:sz w:val="24"/>
          <w:szCs w:val="24"/>
        </w:rPr>
        <w:t xml:space="preserve"> раствором под подоконником), опирания конструкции в ЖБ изделие (пластины); </w:t>
      </w:r>
    </w:p>
    <w:p w14:paraId="1F1ABC01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Вторая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запенка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>;</w:t>
      </w:r>
    </w:p>
    <w:p w14:paraId="5FAB31E7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Монтаж пароизоляционной ленты или СТИЗ (согласно ПСД);</w:t>
      </w:r>
    </w:p>
    <w:p w14:paraId="45A645F5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Установка отлива, заделка и герметизация мест примыкания (выполняется до покраски фасада);</w:t>
      </w:r>
    </w:p>
    <w:p w14:paraId="16D69615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 xml:space="preserve"> низа балконной двери с двух сторон (цельный);</w:t>
      </w:r>
    </w:p>
    <w:p w14:paraId="41486172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Удаление защитных пленок;</w:t>
      </w:r>
    </w:p>
    <w:p w14:paraId="10CF26A3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Монтаж фурнитуры и наладка конструкции;</w:t>
      </w:r>
    </w:p>
    <w:p w14:paraId="7609F4FB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Предусмотреть конструкцией оконных профилей отверстие для отвода конденсата;</w:t>
      </w:r>
    </w:p>
    <w:p w14:paraId="7708431B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 xml:space="preserve"> чертежей. Все видимые отверстия закрасить в цвет профиля. Заглушки на отверстиях для отвода конденсата выполнить в цвет профиля;</w:t>
      </w:r>
    </w:p>
    <w:p w14:paraId="130361D1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конструкций;</w:t>
      </w:r>
    </w:p>
    <w:p w14:paraId="03CC3DE9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Организованный приток воздуха в помещения осуществляется за счет П/О фурнитуры при повороте ручки на 45 градусов, во всех оконных блоках установить приточные клапаны КП-01.000;</w:t>
      </w:r>
    </w:p>
    <w:p w14:paraId="5392E94E" w14:textId="2413B531" w:rsidR="00CA7695" w:rsidRPr="00CA7695" w:rsidRDefault="00CA7695" w:rsidP="00020290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На балконных дверях предусмотреть обычную ручку. Завертка не предусматривается;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695">
        <w:rPr>
          <w:rFonts w:ascii="Times New Roman" w:hAnsi="Times New Roman" w:cs="Times New Roman"/>
          <w:sz w:val="24"/>
          <w:szCs w:val="24"/>
        </w:rPr>
        <w:t xml:space="preserve">Предложение сформировать согласно предоставленной проектной документации 25.816.007.84-АР2; АР1 (с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 xml:space="preserve"> 2) и дизайн-проекту с учетом требований данного ТЗ.</w:t>
      </w:r>
    </w:p>
    <w:p w14:paraId="66CA8909" w14:textId="24936459" w:rsidR="001E1FCA" w:rsidRDefault="001E1FCA" w:rsidP="00CA7695">
      <w:pPr>
        <w:tabs>
          <w:tab w:val="left" w:pos="426"/>
        </w:tabs>
        <w:spacing w:after="0" w:line="254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FF0B42" w14:textId="725FBB04" w:rsidR="001E1FCA" w:rsidRDefault="001E1FCA" w:rsidP="001E1FCA">
      <w:p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D9672B3" w14:textId="6FBB2CBE" w:rsidR="001E1FCA" w:rsidRDefault="001E1FCA" w:rsidP="001E1FCA">
      <w:p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4C28382" w14:textId="295FF982" w:rsidR="001E1FCA" w:rsidRP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CA">
        <w:rPr>
          <w:rFonts w:ascii="Times New Roman" w:hAnsi="Times New Roman" w:cs="Times New Roman"/>
          <w:b/>
          <w:bCs/>
          <w:sz w:val="28"/>
          <w:szCs w:val="28"/>
        </w:rPr>
        <w:t>ЛОТ №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E1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лоджии</w:t>
      </w:r>
      <w:r w:rsidRPr="001E1F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3BCFF7" w14:textId="77777777" w:rsid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6C5EB" w14:textId="59D42230" w:rsidR="001E1FCA" w:rsidRPr="001E1FCA" w:rsidRDefault="001E1FCA" w:rsidP="001E1FCA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В неизменной стоимости должны быть учтены следующие виды работ:</w:t>
      </w:r>
    </w:p>
    <w:p w14:paraId="201BC0D0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Монтаж конструкций из ПВХ;</w:t>
      </w:r>
    </w:p>
    <w:p w14:paraId="63C0B0DF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Установка стеклопакетов, окон с креплением прижимными планками;</w:t>
      </w:r>
    </w:p>
    <w:p w14:paraId="724E3586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Устройство монтажного шва (вид материала слоя (лента, мастика) согласовывается с проектной организацией);</w:t>
      </w:r>
    </w:p>
    <w:p w14:paraId="3D683FB4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планок, торцевых заглушек пилястрового профиля;</w:t>
      </w:r>
    </w:p>
    <w:p w14:paraId="6360B720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Заполнение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аквапанелью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>, отливы, заделка мест примыкания (выполняется до покраски фасада);</w:t>
      </w:r>
    </w:p>
    <w:p w14:paraId="105E458F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Монтаж фурнитуры, регулировка створок;</w:t>
      </w:r>
    </w:p>
    <w:p w14:paraId="0B9F26E4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Защита конструкций от механического и термического (сварка) повреждения.</w:t>
      </w:r>
    </w:p>
    <w:p w14:paraId="73A3A52F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Обеспечение сохранности на весь период до сдачи объекта.</w:t>
      </w:r>
    </w:p>
    <w:p w14:paraId="6804EA4B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</w:t>
      </w:r>
      <w:proofErr w:type="gramStart"/>
      <w:r w:rsidRPr="00CA7695">
        <w:rPr>
          <w:rFonts w:ascii="Times New Roman" w:hAnsi="Times New Roman" w:cs="Times New Roman"/>
          <w:sz w:val="24"/>
          <w:szCs w:val="24"/>
        </w:rPr>
        <w:t>2-7</w:t>
      </w:r>
      <w:proofErr w:type="gramEnd"/>
      <w:r w:rsidRPr="00CA7695">
        <w:rPr>
          <w:rFonts w:ascii="Times New Roman" w:hAnsi="Times New Roman" w:cs="Times New Roman"/>
          <w:sz w:val="24"/>
          <w:szCs w:val="24"/>
        </w:rPr>
        <w:t xml:space="preserve"> мм.</w:t>
      </w:r>
    </w:p>
    <w:p w14:paraId="1F9D2095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Удаление защитной пленки.</w:t>
      </w:r>
    </w:p>
    <w:p w14:paraId="69F7A5BB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>Устройство усиления-пилястры. Предусмотреть цельную накладку пилястры (без стыковок).</w:t>
      </w:r>
    </w:p>
    <w:p w14:paraId="5C9DDA36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lastRenderedPageBreak/>
        <w:t xml:space="preserve">В конструкции предусмотреть дополнительные усиливающие профиля, отверстия для отвода конденсата. Заглушку отверстия выполнить в цвет профиля </w:t>
      </w:r>
    </w:p>
    <w:p w14:paraId="2EC93D4F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 xml:space="preserve"> чертежей. Все видимые отверстия закрасить в цвет профиля. Заглушки на отверстиях для отвода конденсата выполнить в цвет профиля;</w:t>
      </w:r>
    </w:p>
    <w:p w14:paraId="6B1E7903" w14:textId="77777777" w:rsidR="00CA7695" w:rsidRPr="00CA7695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 xml:space="preserve"> чертежей данных.</w:t>
      </w:r>
    </w:p>
    <w:p w14:paraId="4BFB9D1D" w14:textId="0B156AFE" w:rsidR="001E1FCA" w:rsidRPr="001E1FCA" w:rsidRDefault="00CA7695" w:rsidP="00CA7695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695">
        <w:rPr>
          <w:rFonts w:ascii="Times New Roman" w:hAnsi="Times New Roman" w:cs="Times New Roman"/>
          <w:sz w:val="24"/>
          <w:szCs w:val="24"/>
        </w:rPr>
        <w:t xml:space="preserve">Предложение сформировать согласно предоставленной проектной документации 25.816.007.84-АР1 (с </w:t>
      </w:r>
      <w:proofErr w:type="spellStart"/>
      <w:r w:rsidRPr="00CA7695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CA7695">
        <w:rPr>
          <w:rFonts w:ascii="Times New Roman" w:hAnsi="Times New Roman" w:cs="Times New Roman"/>
          <w:sz w:val="24"/>
          <w:szCs w:val="24"/>
        </w:rPr>
        <w:t xml:space="preserve"> 2) и дизайн-проекту с учетом требований данного ТЗ.</w:t>
      </w:r>
    </w:p>
    <w:p w14:paraId="5E5442E1" w14:textId="77777777" w:rsidR="003319B7" w:rsidRPr="00383F1A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50A6" w14:textId="0E02D561" w:rsidR="003319B7" w:rsidRPr="00383F1A" w:rsidRDefault="00D027FA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19B7" w:rsidRPr="00383F1A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1FF0328E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5CD03D43" w14:textId="15088297" w:rsidR="001E1FCA" w:rsidRPr="001E1FCA" w:rsidRDefault="001E1FCA" w:rsidP="001E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ЛОТ№1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B8A750" w14:textId="10210AAC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CA7695" w:rsidRPr="00CA7695">
        <w:rPr>
          <w:rFonts w:ascii="Times New Roman" w:hAnsi="Times New Roman" w:cs="Times New Roman"/>
          <w:sz w:val="24"/>
          <w:szCs w:val="24"/>
        </w:rPr>
        <w:t>1 сентября 2026</w:t>
      </w:r>
      <w:r w:rsidR="00CA7695">
        <w:rPr>
          <w:rFonts w:ascii="Times New Roman" w:hAnsi="Times New Roman" w:cs="Times New Roman"/>
          <w:sz w:val="24"/>
          <w:szCs w:val="24"/>
        </w:rPr>
        <w:t>г</w:t>
      </w:r>
      <w:r w:rsidRPr="004E037E">
        <w:rPr>
          <w:rFonts w:ascii="Times New Roman" w:hAnsi="Times New Roman" w:cs="Times New Roman"/>
          <w:sz w:val="24"/>
          <w:szCs w:val="24"/>
        </w:rPr>
        <w:t>.</w:t>
      </w:r>
    </w:p>
    <w:p w14:paraId="1AF7972F" w14:textId="6A982BEB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CA7695">
        <w:rPr>
          <w:rFonts w:ascii="Times New Roman" w:hAnsi="Times New Roman" w:cs="Times New Roman"/>
          <w:sz w:val="24"/>
          <w:szCs w:val="24"/>
        </w:rPr>
        <w:t>не позднее</w:t>
      </w:r>
      <w:r w:rsidR="001E1FCA">
        <w:rPr>
          <w:rFonts w:ascii="Times New Roman" w:hAnsi="Times New Roman" w:cs="Times New Roman"/>
          <w:sz w:val="24"/>
          <w:szCs w:val="24"/>
        </w:rPr>
        <w:t xml:space="preserve"> </w:t>
      </w:r>
      <w:r w:rsidR="00CA7695">
        <w:rPr>
          <w:rFonts w:ascii="Times New Roman" w:hAnsi="Times New Roman" w:cs="Times New Roman"/>
          <w:sz w:val="24"/>
          <w:szCs w:val="24"/>
        </w:rPr>
        <w:t>15</w:t>
      </w:r>
      <w:r w:rsidR="001E1FCA">
        <w:rPr>
          <w:rFonts w:ascii="Times New Roman" w:hAnsi="Times New Roman" w:cs="Times New Roman"/>
          <w:sz w:val="24"/>
          <w:szCs w:val="24"/>
        </w:rPr>
        <w:t xml:space="preserve"> </w:t>
      </w:r>
      <w:r w:rsidR="00CA7695">
        <w:rPr>
          <w:rFonts w:ascii="Times New Roman" w:hAnsi="Times New Roman" w:cs="Times New Roman"/>
          <w:sz w:val="24"/>
          <w:szCs w:val="24"/>
        </w:rPr>
        <w:t>октября</w:t>
      </w:r>
      <w:r w:rsidR="001E1FCA">
        <w:rPr>
          <w:rFonts w:ascii="Times New Roman" w:hAnsi="Times New Roman" w:cs="Times New Roman"/>
          <w:sz w:val="24"/>
          <w:szCs w:val="24"/>
        </w:rPr>
        <w:t xml:space="preserve">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D02C6E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567C2D4" w14:textId="084320D7" w:rsidR="001E1FCA" w:rsidRPr="001E1FCA" w:rsidRDefault="001E1FCA" w:rsidP="001E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ЛОТ№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</w:p>
    <w:p w14:paraId="68AA0778" w14:textId="09D94971" w:rsidR="001E1FCA" w:rsidRPr="004E037E" w:rsidRDefault="001E1FCA" w:rsidP="001E1F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CA7695" w:rsidRPr="00CA7695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ED793C" w14:textId="5C9DADC6" w:rsidR="001E1FCA" w:rsidRDefault="001E1FCA" w:rsidP="001E1F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CA7695" w:rsidRPr="00CA7695">
        <w:rPr>
          <w:rFonts w:ascii="Times New Roman" w:hAnsi="Times New Roman" w:cs="Times New Roman"/>
          <w:sz w:val="24"/>
          <w:szCs w:val="24"/>
        </w:rPr>
        <w:t>не позднее 15 ноября 2026</w:t>
      </w:r>
      <w:r w:rsidR="00CA7695">
        <w:rPr>
          <w:rFonts w:ascii="Times New Roman" w:hAnsi="Times New Roman" w:cs="Times New Roman"/>
          <w:sz w:val="24"/>
          <w:szCs w:val="24"/>
        </w:rPr>
        <w:t>.</w:t>
      </w:r>
    </w:p>
    <w:p w14:paraId="792FAF5F" w14:textId="77777777" w:rsidR="001E1FCA" w:rsidRDefault="001E1FCA" w:rsidP="004E0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</w:t>
      </w:r>
      <w:r w:rsidRPr="005209E0">
        <w:rPr>
          <w:rFonts w:ascii="Times New Roman" w:hAnsi="Times New Roman"/>
          <w:sz w:val="24"/>
          <w:szCs w:val="24"/>
        </w:rPr>
        <w:lastRenderedPageBreak/>
        <w:t>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0C32657C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695">
        <w:rPr>
          <w:rFonts w:ascii="Times New Roman" w:hAnsi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7695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E1FC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2D09F1DF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A7695">
        <w:rPr>
          <w:rFonts w:ascii="Times New Roman" w:hAnsi="Times New Roman"/>
          <w:b/>
          <w:bCs/>
          <w:sz w:val="24"/>
          <w:szCs w:val="24"/>
        </w:rPr>
        <w:t>22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CA7695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в </w:t>
            </w:r>
            <w:proofErr w:type="gramStart"/>
            <w:r w:rsidRPr="005209E0">
              <w:rPr>
                <w:rFonts w:ascii="Times New Roman" w:hAnsi="Times New Roman" w:cs="Times New Roman"/>
                <w:snapToGrid w:val="0"/>
              </w:rPr>
              <w:t>т.ч.</w:t>
            </w:r>
            <w:proofErr w:type="gramEnd"/>
            <w:r w:rsidRPr="005209E0">
              <w:rPr>
                <w:rFonts w:ascii="Times New Roman" w:hAnsi="Times New Roman" w:cs="Times New Roman"/>
                <w:snapToGrid w:val="0"/>
              </w:rPr>
              <w:t xml:space="preserve">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2"/>
  </w:num>
  <w:num w:numId="7">
    <w:abstractNumId w:val="9"/>
  </w:num>
  <w:num w:numId="8">
    <w:abstractNumId w:val="15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0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11"/>
  </w:num>
  <w:num w:numId="21">
    <w:abstractNumId w:val="16"/>
  </w:num>
  <w:num w:numId="22">
    <w:abstractNumId w:val="3"/>
  </w:num>
  <w:num w:numId="2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E1FCA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A7695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4D1B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5F58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achenko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36</cp:revision>
  <cp:lastPrinted>2019-10-28T14:29:00Z</cp:lastPrinted>
  <dcterms:created xsi:type="dcterms:W3CDTF">2022-09-01T12:41:00Z</dcterms:created>
  <dcterms:modified xsi:type="dcterms:W3CDTF">2026-05-04T12:30:00Z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